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370" w:type="dxa"/>
        <w:jc w:val="left"/>
        <w:tblInd w:w="0" w:type="dxa"/>
        <w:tblLayout w:type="fixed"/>
        <w:tblCellMar>
          <w:top w:w="0" w:type="dxa"/>
          <w:left w:w="0" w:type="dxa"/>
          <w:bottom w:w="28" w:type="dxa"/>
          <w:right w:w="0" w:type="dxa"/>
        </w:tblCellMar>
      </w:tblPr>
      <w:tblGrid>
        <w:gridCol w:w="5370"/>
      </w:tblGrid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pageBreakBefore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commentReference w:id="0"/>
            </w:r>
            <w:r>
              <w:rPr/>
              <w:t>«УТВЕРЖДАЮ»</w:t>
            </w:r>
          </w:p>
        </w:tc>
      </w:tr>
      <w:tr>
        <w:trPr/>
        <w:tc>
          <w:tcPr>
            <w:tcW w:w="5370" w:type="dxa"/>
            <w:tcBorders>
              <w:bottom w:val="single" w:sz="8" w:space="0" w:color="000000"/>
            </w:tcBorders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/ФИО/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ind w:hanging="0" w:left="0" w:right="0"/>
              <w:jc w:val="center"/>
              <w:rPr/>
            </w:pPr>
            <w:r>
              <w:rPr/>
              <w:t>М.П.</w:t>
            </w:r>
          </w:p>
        </w:tc>
      </w:tr>
      <w:tr>
        <w:trPr/>
        <w:tc>
          <w:tcPr>
            <w:tcW w:w="5370" w:type="dxa"/>
            <w:tcBorders/>
            <w:tcMar>
              <w:bottom w:w="0" w:type="dxa"/>
            </w:tcMar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title"/>
        <w:bidi w:val="0"/>
        <w:rPr/>
      </w:pPr>
      <w:bookmarkStart w:id="0" w:name="__DdeLink__10_2641320117"/>
      <w:bookmarkStart w:id="1" w:name="__DdeLink__12_2641320117"/>
      <w:bookmarkEnd w:id="0"/>
      <w:bookmarkEnd w:id="1"/>
      <w:r>
        <w:rPr/>
        <w:t xml:space="preserve">ПРОТОКОЛ №254-ЭТП-Р/1 О РЕЗУЛЬТАТАХ ПРОВЕДЕНИЯ ОТКРЫТЫХ ТОРГОВ ПО ЛОТУ №1 </w:t>
        <w:br/>
        <w:t xml:space="preserve">(Аукцион № 98)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bidi w:val="0"/>
              <w:spacing w:before="0" w:after="283"/>
              <w:jc w:val="right"/>
              <w:rPr/>
            </w:pPr>
            <w:r>
              <w:rPr/>
              <w:t xml:space="preserve">21 октября 2026 г.</w:t>
            </w:r>
          </w:p>
        </w:tc>
      </w:tr>
    </w:tbl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> </w:t>
      </w:r>
    </w:p>
    <w:p>
      <w:pPr>
        <w:pStyle w:val="msolistparagraph"/>
        <w:bidi w:val="0"/>
        <w:jc w:val="left"/>
        <w:rPr/>
      </w:pPr>
      <w:r>
        <w:rPr/>
        <w:t xml:space="preserve">1.   Основание проведения аукциона</w:t>
      </w:r>
    </w:p>
    <w:p>
      <w:pPr>
        <w:pStyle w:val="msolistparagraph"/>
        <w:widowControl w:val="false"/>
        <w:shd w:val="clear" w:fill="auto"/>
        <w:suppressAutoHyphens w:val="true"/>
        <w:bidi w:val="0"/>
        <w:spacing w:lineRule="auto" w:line="276" w:before="0" w:after="142"/>
        <w:ind w:hanging="0" w:left="0" w:right="0"/>
        <w:jc w:val="left"/>
        <w:rPr/>
      </w:pPr>
      <w:r>
        <w:rPr/>
        <w:t xml:space="preserve">Аукцион проводится в соответствии с Федеральным законом РФ «О несостоятельности (банкротстве)» №127 ФЗ (в действующей редакции), Гражданским кодексом РФ, Приказом Минэкономразвития №495 от 23 июля 2015г.</w:t>
      </w:r>
    </w:p>
    <w:p>
      <w:pPr>
        <w:pStyle w:val="msolistparagraph"/>
        <w:bidi w:val="0"/>
        <w:jc w:val="left"/>
        <w:rPr/>
      </w:pPr>
      <w:r>
        <w:rPr/>
        <w:t xml:space="preserve">2.   Форма проведения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Открытые торги в форме аукциона.</w:t>
      </w:r>
    </w:p>
    <w:p>
      <w:pPr>
        <w:pStyle w:val="msolistparagraph"/>
        <w:bidi w:val="0"/>
        <w:jc w:val="left"/>
        <w:rPr/>
      </w:pPr>
      <w:r>
        <w:rPr/>
        <w:t xml:space="preserve">3.   Форма представления предложений о цене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bookmarkStart w:id="2" w:name="__DdeLink__1603_2641320117"/>
      <w:r>
        <w:rPr/>
        <w:t/>
      </w:r>
      <w:bookmarkEnd w:id="2"/>
      <w:r>
        <w:rPr/>
        <w:t xml:space="preserve">Форма представления предложений о цене открытая.</w:t>
      </w:r>
    </w:p>
    <w:p>
      <w:pPr>
        <w:pStyle w:val="msolistparagraph"/>
        <w:bidi w:val="0"/>
        <w:jc w:val="left"/>
        <w:rPr/>
      </w:pPr>
      <w:r>
        <w:rPr/>
        <w:t xml:space="preserve">4.   Наименование аукциона и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Аукцион: JOLION Красный 2024 г.в.</w:t>
      </w:r>
    </w:p>
    <w:p>
      <w:pPr>
        <w:pStyle w:val="BodyText"/>
        <w:bidi w:val="0"/>
        <w:jc w:val="left"/>
        <w:rPr/>
      </w:pP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u w:val="single"/>
        </w:rPr>
        <w:t xml:space="preserve">Ознакомление с документами производится весь срок приема заявок при предварительной договоренности по телефону: +7-914-613-25-15, а также путем направления запроса на адрес: 750701@mai.ruИмущество находится в г. Старобельск (ЛНР), тел. для связи 7-978-023-06-69</w:t>
      </w:r>
      <w:r>
        <w:rPr/>
        <w:t xml:space="preserve"/>
      </w:r>
    </w:p>
    <w:p>
      <w:pPr>
        <w:pStyle w:val="msolistparagraph"/>
        <w:bidi w:val="0"/>
        <w:jc w:val="left"/>
        <w:rPr/>
      </w:pPr>
      <w:r>
        <w:rPr/>
        <w:t xml:space="preserve">5.   Организатор торгов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Организатор торгов: </w:t>
      </w:r>
      <w:r>
        <w:rPr>
          <w:u w:val="single"/>
        </w:rPr>
        <w:t xml:space="preserve">Орлов Юрий Александрович</w:t>
      </w:r>
      <w:r>
        <w:rPr/>
        <w:t xml:space="preserve">; Арбитражный управляющий: </w:t>
      </w:r>
      <w:r>
        <w:rPr>
          <w:u w:val="single"/>
        </w:rPr>
        <w:t xml:space="preserve">Орлов Юрий Александрович</w:t>
      </w:r>
      <w:r>
        <w:rPr/>
        <w:t xml:space="preserve">; Должник: </w:t>
      </w:r>
      <w:r>
        <w:rPr>
          <w:u w:val="single"/>
        </w:rPr>
        <w:t xml:space="preserve">Астахов Николай Иванович</w:t>
      </w:r>
      <w:r>
        <w:rPr/>
        <w:t xml:space="preserve">. </w:t>
      </w:r>
    </w:p>
    <w:p>
      <w:pPr>
        <w:pStyle w:val="msolistparagraph"/>
        <w:bidi w:val="0"/>
        <w:jc w:val="left"/>
        <w:rPr/>
      </w:pPr>
      <w:r>
        <w:rPr/>
        <w:t xml:space="preserve">6.   Место, дата и время проведения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Дата проведения аукциона в электронной форме: 10:10 21 октября 2026 г. Аукцион в электронной форме проводился на сайте https://lotrf.ru/</w:t>
      </w:r>
      <w:r>
        <w:rPr>
          <w:rStyle w:val="Hyperlink"/>
        </w:rPr>
        <w:t xml:space="preserve"> </w:t>
      </w:r>
      <w:r>
        <w:rPr/>
        <w:t xml:space="preserve">в сети «Интернет». Окончание торгов по данному лоту аукциона произошло в  </w:t>
      </w:r>
    </w:p>
    <w:p>
      <w:pPr>
        <w:pStyle w:val="msolistparagraph"/>
        <w:bidi w:val="0"/>
        <w:jc w:val="left"/>
        <w:rPr/>
      </w:pPr>
      <w:r>
        <w:t xml:space="preserve">7.   Перечень участников</w:t>
      </w:r>
    </w:p>
    <w:p>
      <w:pPr>
        <w:pStyle w:val="msolistparagraph"/>
        <w:bidi w:val="0"/>
        <w:jc w:val="left"/>
        <w:rPr/>
      </w:pPr>
      <w:r>
        <w:rPr>
          <w:u w:val="single"/>
        </w:rPr>
        <w:t xml:space="preserve">Участников нет.</w:t>
      </w:r>
    </w:p>
    <w:p>
      <w:pPr>
        <w:pStyle w:val="msolistparagraph"/>
        <w:bidi w:val="0"/>
        <w:jc w:val="left"/>
        <w:rPr/>
      </w:pPr>
      <w:r>
        <w:rPr/>
        <w:t xml:space="preserve">8.   Начальная цена лота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Начальная цена лота, согласно извещению о проведении аукциона в электронной форме, составляет </w:t>
      </w:r>
      <w:r>
        <w:rPr>
          <w:i/>
        </w:rPr>
        <w:t xml:space="preserve">1642500 руб. 00 коп. (один миллион шестьсот сорок две тысячи пятьсот руб. 00 коп.)</w:t>
      </w:r>
    </w:p>
    <w:p>
      <w:pPr>
        <w:pStyle w:val="msolistparagraph"/>
        <w:bidi w:val="0"/>
        <w:jc w:val="left"/>
        <w:rPr/>
      </w:pPr>
      <w:r>
        <w:t xml:space="preserve">9.   Ценовые предложения участников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t xml:space="preserve">Ценовых предложений подано не было</w:t>
      </w:r>
    </w:p>
    <w:p>
      <w:pPr>
        <w:pStyle w:val="msolistparagraph"/>
        <w:bidi w:val="0"/>
        <w:jc w:val="left"/>
        <w:rPr/>
      </w:pPr>
      <w:r>
        <w:rPr/>
        <w:t xml:space="preserve">10.   Результаты проведения аукциона в электронной форме</w:t>
      </w:r>
    </w:p>
    <w:p>
      <w:pPr>
        <w:pStyle w:val="MsoNormal2"/>
        <w:spacing w:before="0" w:after="283"/>
        <w:rPr/>
      </w:pPr>
      <w:r>
        <w:rPr/>
        <w:t xml:space="preserve">Согласно федеральному закону РФ "О несостоятельности (банкротстве)" №127 ФЗ (в действующей редакции), Гражданскому кодексу РФ, Приказу Минэкономразвития №495 от 23 июля 2015г. торги по лоту аукциона признаны несостоявшимися, так как:</w:t>
      </w:r>
    </w:p>
    <w:p>
      <w:pPr>
        <w:pStyle w:val="Style16"/>
        <w:bidi w:val="0"/>
        <w:spacing w:before="0" w:after="283"/>
        <w:ind w:hanging="0" w:left="0" w:right="0"/>
        <w:jc w:val="left"/>
        <w:rPr/>
      </w:pPr>
      <w:r>
        <w:rPr/>
        <w:t xml:space="preserve">В установленный срок не поступило ни одной заявки на участие в торгах.</w:t>
      </w:r>
    </w:p>
    <w:p>
      <w:pPr>
        <w:pStyle w:val="msolistparagraph"/>
        <w:bidi w:val="0"/>
        <w:jc w:val="left"/>
        <w:rPr/>
      </w:pPr>
      <w:r>
        <w:rPr/>
        <w:t xml:space="preserve">11.   Размещение протокола лота аукциона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Протокол о результатах проведения торгов размещается оператором электронной площадки на электронной площадке, а также в Едином федеральном реестре сведений о банкротстве.</w:t>
      </w:r>
    </w:p>
    <w:p>
      <w:pPr>
        <w:pStyle w:val="msolistparagraph"/>
        <w:bidi w:val="0"/>
        <w:jc w:val="left"/>
        <w:rPr/>
      </w:pPr>
      <w:r>
        <w:rPr/>
        <w:t xml:space="preserve">12.   Срок хранения настоящего протокола</w:t>
      </w:r>
    </w:p>
    <w:p>
      <w:pPr>
        <w:pStyle w:val="msonormal"/>
        <w:bidi w:val="0"/>
        <w:spacing w:before="0" w:after="283"/>
        <w:ind w:hanging="0" w:left="0" w:right="0"/>
        <w:jc w:val="left"/>
        <w:rPr/>
      </w:pPr>
      <w:r>
        <w:rPr/>
        <w:t xml:space="preserve">Настоящий протокол подлежит хранению в течение 10 (десяти) лет с даты проведения настоящего аукциона.</w:t>
      </w:r>
    </w:p>
    <w:p>
      <w:pPr>
        <w:pStyle w:val="BodyText"/>
        <w:bidi w:val="0"/>
        <w:spacing w:before="0" w:after="142"/>
        <w:jc w:val="left"/>
        <w:rPr/>
      </w:pPr>
      <w:r>
        <w:rPr/>
        <w:t xml:space="preserve"> 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21.10.2026 10:05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- 029389D30076B34A994B84A1513C163B45)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" w:date="2026-04-27T12:20:55Z" w:initials="">
    <w:p>
      <w:pPr>
        <w:overflowPunct w:val="true"/>
        <w:rPr/>
      </w:pPr>
      <w:r>
        <w:annotationRef/>
      </w:r>
      <w:r>
        <w:rPr>
          <w:rFonts w:eastAsia="DejaVu Sans" w:cs="Noto Sans Arabic"/>
          <w:lang w:val="en-US" w:eastAsia="en-US" w:bidi="en-US"/>
        </w:rPr>
        <w:t>HTML: &lt;meta name="created" content="00:00:00"&gt;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0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hd w:val="clear" w:fill="auto"/>
      <w:spacing w:lineRule="auto" w:line="276" w:before="0" w:after="142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msonormal">
    <w:name w:val="Основной текст.msonormal"/>
    <w:basedOn w:val="BodyText"/>
    <w:qFormat/>
    <w:pPr>
      <w:spacing w:before="0" w:after="0"/>
    </w:pPr>
    <w:rPr/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38" w:after="62"/>
      <w:ind w:firstLine="737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listparagraph">
    <w:name w:val="Основной текст.msolistparagraph"/>
    <w:basedOn w:val="BodyText"/>
    <w:qFormat/>
    <w:pPr>
      <w:ind w:hanging="363" w:left="363"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  <w:shd w:val="clear" w:fill="auto"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Комментарий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MsoListParagraph1">
    <w:name w:val="Основной текст.MsoListParagraph1"/>
    <w:basedOn w:val="BodyText"/>
    <w:qFormat/>
    <w:pPr>
      <w:ind w:hanging="360" w:left="360"/>
    </w:pPr>
    <w:rPr/>
  </w:style>
  <w:style w:type="paragraph" w:styleId="MsoNormal1">
    <w:name w:val="Основной текст.MsoNormal1"/>
    <w:basedOn w:val="BodyText"/>
    <w:qFormat/>
    <w:pPr>
      <w:spacing w:before="0" w:after="0"/>
      <w:ind w:left="0" w:right="0"/>
    </w:pPr>
    <w:rPr/>
  </w:style>
  <w:style w:type="paragraph" w:styleId="MsoNormal2">
    <w:name w:val="Основной текст.MsoNormal2"/>
    <w:basedOn w:val="BodyText"/>
    <w:qFormat/>
    <w:pPr>
      <w:spacing w:before="0" w:after="0"/>
      <w:ind w:left="0" w:right="0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mments" Target="comment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221</TotalTime>
  <Application>LibreOffice/25.8.6.2$Linux_X86_64 LibreOffice_project/a46b460d1686bb49c718d2ef5f88b83ff2dc4981</Application>
  <AppVersion>15.0000</AppVersion>
  <Pages>3</Pages>
  <Words>494</Words>
  <Characters>3203</Characters>
  <CharactersWithSpaces>3680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2026-05-08T14:43:35Z</dcterms:modified>
  <cp:revision>22</cp:revision>
  <dc:subject/>
  <dc:title>«УТВЕРЖДАЮ»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